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C84FA" w14:textId="77777777" w:rsidR="000A2925" w:rsidRPr="000A2925" w:rsidRDefault="000A2925" w:rsidP="000A2925">
      <w:pPr>
        <w:shd w:val="clear" w:color="auto" w:fill="FFFFFF"/>
        <w:spacing w:after="240" w:line="240" w:lineRule="auto"/>
        <w:outlineLvl w:val="1"/>
        <w:rPr>
          <w:rFonts w:ascii="Titillium Web" w:eastAsia="Times New Roman" w:hAnsi="Titillium Web" w:cs="Times New Roman"/>
          <w:b/>
          <w:bCs/>
          <w:color w:val="005586"/>
          <w:kern w:val="0"/>
          <w:sz w:val="32"/>
          <w:szCs w:val="32"/>
          <w:lang w:eastAsia="it-IT"/>
          <w14:ligatures w14:val="none"/>
        </w:rPr>
      </w:pPr>
      <w:r w:rsidRPr="000A2925">
        <w:rPr>
          <w:rFonts w:ascii="Titillium Web" w:eastAsia="Times New Roman" w:hAnsi="Titillium Web" w:cs="Times New Roman"/>
          <w:b/>
          <w:bCs/>
          <w:color w:val="005586"/>
          <w:kern w:val="0"/>
          <w:sz w:val="32"/>
          <w:szCs w:val="32"/>
          <w:lang w:eastAsia="it-IT"/>
          <w14:ligatures w14:val="none"/>
        </w:rPr>
        <w:t>Avviso del 5 gennaio 2024</w:t>
      </w:r>
    </w:p>
    <w:p w14:paraId="56C64063" w14:textId="77777777" w:rsidR="000A2925" w:rsidRPr="000A2925" w:rsidRDefault="000A2925" w:rsidP="000A2925">
      <w:pPr>
        <w:shd w:val="clear" w:color="auto" w:fill="FFFFFF"/>
        <w:spacing w:after="540" w:line="240" w:lineRule="auto"/>
        <w:rPr>
          <w:rFonts w:ascii="Titillium Web" w:eastAsia="Times New Roman" w:hAnsi="Titillium Web" w:cs="Times New Roman"/>
          <w:color w:val="005586"/>
          <w:kern w:val="0"/>
          <w:sz w:val="27"/>
          <w:szCs w:val="27"/>
          <w:lang w:eastAsia="it-IT"/>
          <w14:ligatures w14:val="none"/>
        </w:rPr>
      </w:pPr>
      <w:r w:rsidRPr="000A2925">
        <w:rPr>
          <w:rFonts w:ascii="Titillium Web" w:eastAsia="Times New Roman" w:hAnsi="Titillium Web" w:cs="Times New Roman"/>
          <w:color w:val="005586"/>
          <w:kern w:val="0"/>
          <w:sz w:val="27"/>
          <w:szCs w:val="27"/>
          <w:lang w:eastAsia="it-IT"/>
          <w14:ligatures w14:val="none"/>
        </w:rPr>
        <w:t>Dal 2024, enti e pubbliche amministrazioni non dovranno più compilare e pubblicare il file XML contenente il riepilogo dei contratti in essere nell’anno precedente, né inviare entro il 31 gennaio ad ANAC via PEC la dichiarazione di avvenuta pubblicazione del file nella propria sezione Amministrazione Trasparente.</w:t>
      </w:r>
    </w:p>
    <w:p w14:paraId="0EA10071" w14:textId="77777777" w:rsidR="000A2925" w:rsidRPr="000A2925" w:rsidRDefault="000A2925" w:rsidP="000A2925">
      <w:pPr>
        <w:shd w:val="clear" w:color="auto" w:fill="FFFFFF"/>
        <w:spacing w:after="540" w:line="240" w:lineRule="auto"/>
        <w:rPr>
          <w:rFonts w:ascii="Titillium Web" w:eastAsia="Times New Roman" w:hAnsi="Titillium Web" w:cs="Times New Roman"/>
          <w:color w:val="005586"/>
          <w:kern w:val="0"/>
          <w:sz w:val="27"/>
          <w:szCs w:val="27"/>
          <w:lang w:eastAsia="it-IT"/>
          <w14:ligatures w14:val="none"/>
        </w:rPr>
      </w:pPr>
      <w:r w:rsidRPr="000A2925">
        <w:rPr>
          <w:rFonts w:ascii="Titillium Web" w:eastAsia="Times New Roman" w:hAnsi="Titillium Web" w:cs="Times New Roman"/>
          <w:color w:val="005586"/>
          <w:kern w:val="0"/>
          <w:sz w:val="27"/>
          <w:szCs w:val="27"/>
          <w:lang w:eastAsia="it-IT"/>
          <w14:ligatures w14:val="none"/>
        </w:rPr>
        <w:t xml:space="preserve">Con il nuovo Codice dei contratti pubblici, che ha abrogato l’art.1 comma 32 della legge n.190/2012, e la digitalizzazione degli appalti e delle concessioni, pienamente attuata </w:t>
      </w:r>
      <w:proofErr w:type="gramStart"/>
      <w:r w:rsidRPr="000A2925">
        <w:rPr>
          <w:rFonts w:ascii="Titillium Web" w:eastAsia="Times New Roman" w:hAnsi="Titillium Web" w:cs="Times New Roman"/>
          <w:color w:val="005586"/>
          <w:kern w:val="0"/>
          <w:sz w:val="27"/>
          <w:szCs w:val="27"/>
          <w:lang w:eastAsia="it-IT"/>
          <w14:ligatures w14:val="none"/>
        </w:rPr>
        <w:t>dall'1 gennaio</w:t>
      </w:r>
      <w:proofErr w:type="gramEnd"/>
      <w:r w:rsidRPr="000A2925">
        <w:rPr>
          <w:rFonts w:ascii="Titillium Web" w:eastAsia="Times New Roman" w:hAnsi="Titillium Web" w:cs="Times New Roman"/>
          <w:color w:val="005586"/>
          <w:kern w:val="0"/>
          <w:sz w:val="27"/>
          <w:szCs w:val="27"/>
          <w:lang w:eastAsia="it-IT"/>
          <w14:ligatures w14:val="none"/>
        </w:rPr>
        <w:t xml:space="preserve"> scorso, viene meno l’obbligo di pubblicazione, sul sito della stazione appaltante, del file XML predisposto secondo le specifiche tecniche emesse da ANAC. Allo stesso modo viene meno l’obbligo di successiva comunicazione all’Autorità Nazionale Anticorruzione </w:t>
      </w:r>
      <w:proofErr w:type="spellStart"/>
      <w:r w:rsidRPr="000A2925">
        <w:rPr>
          <w:rFonts w:ascii="Titillium Web" w:eastAsia="Times New Roman" w:hAnsi="Titillium Web" w:cs="Times New Roman"/>
          <w:color w:val="005586"/>
          <w:kern w:val="0"/>
          <w:sz w:val="27"/>
          <w:szCs w:val="27"/>
          <w:lang w:eastAsia="it-IT"/>
          <w14:ligatures w14:val="none"/>
        </w:rPr>
        <w:t>dell’url</w:t>
      </w:r>
      <w:proofErr w:type="spellEnd"/>
      <w:r w:rsidRPr="000A2925">
        <w:rPr>
          <w:rFonts w:ascii="Titillium Web" w:eastAsia="Times New Roman" w:hAnsi="Titillium Web" w:cs="Times New Roman"/>
          <w:color w:val="005586"/>
          <w:kern w:val="0"/>
          <w:sz w:val="27"/>
          <w:szCs w:val="27"/>
          <w:lang w:eastAsia="it-IT"/>
          <w14:ligatures w14:val="none"/>
        </w:rPr>
        <w:t xml:space="preserve"> a cui tale file è stato pubblicato.</w:t>
      </w:r>
    </w:p>
    <w:p w14:paraId="519AA6CC" w14:textId="77777777" w:rsidR="000A2925" w:rsidRPr="000A2925" w:rsidRDefault="000A2925" w:rsidP="000A2925">
      <w:pPr>
        <w:shd w:val="clear" w:color="auto" w:fill="FFFFFF"/>
        <w:spacing w:after="540" w:line="240" w:lineRule="auto"/>
        <w:rPr>
          <w:rFonts w:ascii="Titillium Web" w:eastAsia="Times New Roman" w:hAnsi="Titillium Web" w:cs="Times New Roman"/>
          <w:color w:val="005586"/>
          <w:kern w:val="0"/>
          <w:sz w:val="27"/>
          <w:szCs w:val="27"/>
          <w:lang w:eastAsia="it-IT"/>
          <w14:ligatures w14:val="none"/>
        </w:rPr>
      </w:pPr>
      <w:r w:rsidRPr="000A2925">
        <w:rPr>
          <w:rFonts w:ascii="Titillium Web" w:eastAsia="Times New Roman" w:hAnsi="Titillium Web" w:cs="Times New Roman"/>
          <w:color w:val="005586"/>
          <w:kern w:val="0"/>
          <w:sz w:val="27"/>
          <w:szCs w:val="27"/>
          <w:lang w:eastAsia="it-IT"/>
          <w14:ligatures w14:val="none"/>
        </w:rPr>
        <w:t>Di conseguenza, perde di efficacia quanto riportato negli artt. 4 e 6 della </w:t>
      </w:r>
      <w:hyperlink r:id="rId4" w:tgtFrame="_blank" w:history="1">
        <w:r w:rsidRPr="000A2925">
          <w:rPr>
            <w:rFonts w:ascii="Titillium Web" w:eastAsia="Times New Roman" w:hAnsi="Titillium Web" w:cs="Times New Roman"/>
            <w:b/>
            <w:bCs/>
            <w:color w:val="2770B7"/>
            <w:kern w:val="0"/>
            <w:sz w:val="27"/>
            <w:szCs w:val="27"/>
            <w:u w:val="single"/>
            <w:lang w:eastAsia="it-IT"/>
            <w14:ligatures w14:val="none"/>
          </w:rPr>
          <w:t>Deliberazione n. 26 del 22 maggio 2013</w:t>
        </w:r>
      </w:hyperlink>
      <w:r w:rsidRPr="000A2925">
        <w:rPr>
          <w:rFonts w:ascii="Titillium Web" w:eastAsia="Times New Roman" w:hAnsi="Titillium Web" w:cs="Times New Roman"/>
          <w:color w:val="005586"/>
          <w:kern w:val="0"/>
          <w:sz w:val="27"/>
          <w:szCs w:val="27"/>
          <w:lang w:eastAsia="it-IT"/>
          <w14:ligatures w14:val="none"/>
        </w:rPr>
        <w:t>, il </w:t>
      </w:r>
      <w:hyperlink r:id="rId5" w:tgtFrame="_blank" w:history="1">
        <w:r w:rsidRPr="000A2925">
          <w:rPr>
            <w:rFonts w:ascii="Titillium Web" w:eastAsia="Times New Roman" w:hAnsi="Titillium Web" w:cs="Times New Roman"/>
            <w:b/>
            <w:bCs/>
            <w:color w:val="2770B7"/>
            <w:kern w:val="0"/>
            <w:sz w:val="27"/>
            <w:szCs w:val="27"/>
            <w:u w:val="single"/>
            <w:lang w:eastAsia="it-IT"/>
            <w14:ligatures w14:val="none"/>
          </w:rPr>
          <w:t>Comunicato del Presidente del 22 maggio 2013</w:t>
        </w:r>
      </w:hyperlink>
      <w:r w:rsidRPr="000A2925">
        <w:rPr>
          <w:rFonts w:ascii="Titillium Web" w:eastAsia="Times New Roman" w:hAnsi="Titillium Web" w:cs="Times New Roman"/>
          <w:color w:val="005586"/>
          <w:kern w:val="0"/>
          <w:sz w:val="27"/>
          <w:szCs w:val="27"/>
          <w:lang w:eastAsia="it-IT"/>
          <w14:ligatures w14:val="none"/>
        </w:rPr>
        <w:t> e  quanto richiesto nel </w:t>
      </w:r>
      <w:hyperlink r:id="rId6" w:tgtFrame="_blank" w:history="1">
        <w:r w:rsidRPr="000A2925">
          <w:rPr>
            <w:rFonts w:ascii="Titillium Web" w:eastAsia="Times New Roman" w:hAnsi="Titillium Web" w:cs="Times New Roman"/>
            <w:b/>
            <w:bCs/>
            <w:color w:val="2770B7"/>
            <w:kern w:val="0"/>
            <w:sz w:val="27"/>
            <w:szCs w:val="27"/>
            <w:u w:val="single"/>
            <w:lang w:eastAsia="it-IT"/>
            <w14:ligatures w14:val="none"/>
          </w:rPr>
          <w:t>Comunicato del Presidente del 13 giugno 2013</w:t>
        </w:r>
      </w:hyperlink>
      <w:r w:rsidRPr="000A2925">
        <w:rPr>
          <w:rFonts w:ascii="Titillium Web" w:eastAsia="Times New Roman" w:hAnsi="Titillium Web" w:cs="Times New Roman"/>
          <w:color w:val="005586"/>
          <w:kern w:val="0"/>
          <w:sz w:val="27"/>
          <w:szCs w:val="27"/>
          <w:lang w:eastAsia="it-IT"/>
          <w14:ligatures w14:val="none"/>
        </w:rPr>
        <w:t> in relazione all'invio del tracciato XML.</w:t>
      </w:r>
    </w:p>
    <w:p w14:paraId="34FDBF58" w14:textId="77777777" w:rsidR="000A2925" w:rsidRPr="000A2925" w:rsidRDefault="000A2925" w:rsidP="000A2925">
      <w:pPr>
        <w:shd w:val="clear" w:color="auto" w:fill="FFFFFF"/>
        <w:spacing w:after="540" w:line="240" w:lineRule="auto"/>
        <w:rPr>
          <w:rFonts w:ascii="Titillium Web" w:eastAsia="Times New Roman" w:hAnsi="Titillium Web" w:cs="Times New Roman"/>
          <w:color w:val="005586"/>
          <w:kern w:val="0"/>
          <w:sz w:val="27"/>
          <w:szCs w:val="27"/>
          <w:lang w:eastAsia="it-IT"/>
          <w14:ligatures w14:val="none"/>
        </w:rPr>
      </w:pPr>
      <w:r w:rsidRPr="000A2925">
        <w:rPr>
          <w:rFonts w:ascii="Titillium Web" w:eastAsia="Times New Roman" w:hAnsi="Titillium Web" w:cs="Times New Roman"/>
          <w:color w:val="005586"/>
          <w:kern w:val="0"/>
          <w:sz w:val="27"/>
          <w:szCs w:val="27"/>
          <w:lang w:eastAsia="it-IT"/>
          <w14:ligatures w14:val="none"/>
        </w:rPr>
        <w:t>Maggiori dettagli sulle modalità di pubblicazione, ai fini della trasparenza, dei dati e dei documenti relativi a bandi di gara e contratti sono disponibili nelle indicazioni allegate.</w:t>
      </w:r>
    </w:p>
    <w:p w14:paraId="0B89427F" w14:textId="77777777" w:rsidR="00FB325E" w:rsidRDefault="00FB325E"/>
    <w:sectPr w:rsidR="00FB32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tillium Web">
    <w:charset w:val="00"/>
    <w:family w:val="auto"/>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2A"/>
    <w:rsid w:val="000A2925"/>
    <w:rsid w:val="006263AE"/>
    <w:rsid w:val="00876852"/>
    <w:rsid w:val="00C8502A"/>
    <w:rsid w:val="00FB3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ECEA0-4773-46A2-A903-0CD5D110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850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850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8502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8502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8502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8502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8502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8502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8502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502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8502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8502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8502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8502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8502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8502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8502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8502A"/>
    <w:rPr>
      <w:rFonts w:eastAsiaTheme="majorEastAsia" w:cstheme="majorBidi"/>
      <w:color w:val="272727" w:themeColor="text1" w:themeTint="D8"/>
    </w:rPr>
  </w:style>
  <w:style w:type="paragraph" w:styleId="Titolo">
    <w:name w:val="Title"/>
    <w:basedOn w:val="Normale"/>
    <w:next w:val="Normale"/>
    <w:link w:val="TitoloCarattere"/>
    <w:uiPriority w:val="10"/>
    <w:qFormat/>
    <w:rsid w:val="00C850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8502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8502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8502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8502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8502A"/>
    <w:rPr>
      <w:i/>
      <w:iCs/>
      <w:color w:val="404040" w:themeColor="text1" w:themeTint="BF"/>
    </w:rPr>
  </w:style>
  <w:style w:type="paragraph" w:styleId="Paragrafoelenco">
    <w:name w:val="List Paragraph"/>
    <w:basedOn w:val="Normale"/>
    <w:uiPriority w:val="34"/>
    <w:qFormat/>
    <w:rsid w:val="00C8502A"/>
    <w:pPr>
      <w:ind w:left="720"/>
      <w:contextualSpacing/>
    </w:pPr>
  </w:style>
  <w:style w:type="character" w:styleId="Enfasiintensa">
    <w:name w:val="Intense Emphasis"/>
    <w:basedOn w:val="Carpredefinitoparagrafo"/>
    <w:uiPriority w:val="21"/>
    <w:qFormat/>
    <w:rsid w:val="00C8502A"/>
    <w:rPr>
      <w:i/>
      <w:iCs/>
      <w:color w:val="2F5496" w:themeColor="accent1" w:themeShade="BF"/>
    </w:rPr>
  </w:style>
  <w:style w:type="paragraph" w:styleId="Citazioneintensa">
    <w:name w:val="Intense Quote"/>
    <w:basedOn w:val="Normale"/>
    <w:next w:val="Normale"/>
    <w:link w:val="CitazioneintensaCarattere"/>
    <w:uiPriority w:val="30"/>
    <w:qFormat/>
    <w:rsid w:val="00C850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8502A"/>
    <w:rPr>
      <w:i/>
      <w:iCs/>
      <w:color w:val="2F5496" w:themeColor="accent1" w:themeShade="BF"/>
    </w:rPr>
  </w:style>
  <w:style w:type="character" w:styleId="Riferimentointenso">
    <w:name w:val="Intense Reference"/>
    <w:basedOn w:val="Carpredefinitoparagrafo"/>
    <w:uiPriority w:val="32"/>
    <w:qFormat/>
    <w:rsid w:val="00C850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14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ticorruzione.it/-/comunicato-del-presidente-dell-autorit-c3-a0-del-13/06/2013-rif." TargetMode="External"/><Relationship Id="rId5" Type="http://schemas.openxmlformats.org/officeDocument/2006/relationships/hyperlink" Target="https://www.anticorruzione.it/-/comunicato-del-presidente-dell-autorit%C3%A0-del-22/05/2013-rif.-1-1" TargetMode="External"/><Relationship Id="rId4" Type="http://schemas.openxmlformats.org/officeDocument/2006/relationships/hyperlink" Target="https://www.anticorruzione.it/-/deliberazione-n.-26-del-22-maggio-201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laura.pasero</dc:creator>
  <cp:keywords/>
  <dc:description/>
  <cp:lastModifiedBy>laura.pasero</cp:lastModifiedBy>
  <cp:revision>2</cp:revision>
  <dcterms:created xsi:type="dcterms:W3CDTF">2025-06-03T09:16:00Z</dcterms:created>
  <dcterms:modified xsi:type="dcterms:W3CDTF">2025-06-03T09:16:00Z</dcterms:modified>
</cp:coreProperties>
</file>